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51E9" w:rsidRDefault="009C2A2B" w:rsidP="009C2A2B">
      <w:pPr>
        <w:jc w:val="center"/>
        <w:rPr>
          <w:b/>
          <w:u w:val="single"/>
        </w:rPr>
      </w:pPr>
      <w:r>
        <w:rPr>
          <w:b/>
          <w:u w:val="single"/>
        </w:rPr>
        <w:t xml:space="preserve">Understanding </w:t>
      </w:r>
      <w:r w:rsidR="00CA4D90">
        <w:rPr>
          <w:b/>
          <w:u w:val="single"/>
        </w:rPr>
        <w:t>exogenous force</w:t>
      </w:r>
      <w:r w:rsidR="00B73CEE">
        <w:rPr>
          <w:b/>
          <w:u w:val="single"/>
        </w:rPr>
        <w:t>s</w:t>
      </w:r>
      <w:bookmarkStart w:id="0" w:name="_GoBack"/>
      <w:bookmarkEnd w:id="0"/>
      <w:r>
        <w:rPr>
          <w:b/>
          <w:u w:val="single"/>
        </w:rPr>
        <w:t xml:space="preserve">: The case of </w:t>
      </w:r>
      <w:r w:rsidR="00CA4D90">
        <w:rPr>
          <w:b/>
          <w:u w:val="single"/>
        </w:rPr>
        <w:t>Didsbury and covid-19</w:t>
      </w:r>
    </w:p>
    <w:p w:rsidR="009C2A2B" w:rsidRDefault="009C2A2B" w:rsidP="009C2A2B">
      <w:pPr>
        <w:jc w:val="center"/>
        <w:rPr>
          <w:b/>
          <w:u w:val="single"/>
        </w:rPr>
      </w:pPr>
    </w:p>
    <w:p w:rsidR="009C2A2B" w:rsidRPr="009C2A2B" w:rsidRDefault="009C2A2B" w:rsidP="009C2A2B">
      <w:pPr>
        <w:jc w:val="both"/>
      </w:pPr>
      <w:r>
        <w:t>Below is an extract from an article published in Routes. Read the article using active reading strategies – you might choose to underline or highlight key points, and also make a set of short sub-headings in the column on the left hand side to help you summarise the extract.</w:t>
      </w:r>
    </w:p>
    <w:p w:rsidR="009C2A2B" w:rsidRDefault="009C2A2B" w:rsidP="009C2A2B">
      <w:pPr>
        <w:jc w:val="center"/>
        <w:rPr>
          <w:b/>
          <w:u w:val="single"/>
        </w:rPr>
      </w:pPr>
    </w:p>
    <w:tbl>
      <w:tblPr>
        <w:tblStyle w:val="TableGrid"/>
        <w:tblW w:w="10632" w:type="dxa"/>
        <w:tblInd w:w="-147" w:type="dxa"/>
        <w:tblLook w:val="04A0" w:firstRow="1" w:lastRow="0" w:firstColumn="1" w:lastColumn="0" w:noHBand="0" w:noVBand="1"/>
      </w:tblPr>
      <w:tblGrid>
        <w:gridCol w:w="2410"/>
        <w:gridCol w:w="8222"/>
      </w:tblGrid>
      <w:tr w:rsidR="009C2A2B" w:rsidTr="00B73CEE">
        <w:tc>
          <w:tcPr>
            <w:tcW w:w="2410" w:type="dxa"/>
          </w:tcPr>
          <w:p w:rsidR="009C2A2B" w:rsidRPr="00990AE3" w:rsidRDefault="00990AE3" w:rsidP="00990AE3">
            <w:pPr>
              <w:jc w:val="center"/>
              <w:rPr>
                <w:b/>
              </w:rPr>
            </w:pPr>
            <w:r w:rsidRPr="00990AE3">
              <w:rPr>
                <w:b/>
              </w:rPr>
              <w:t>Sub-headings</w:t>
            </w:r>
          </w:p>
        </w:tc>
        <w:tc>
          <w:tcPr>
            <w:tcW w:w="8222" w:type="dxa"/>
          </w:tcPr>
          <w:p w:rsidR="009C2A2B" w:rsidRDefault="009C2A2B" w:rsidP="009C2A2B">
            <w:pPr>
              <w:jc w:val="both"/>
              <w:rPr>
                <w:b/>
                <w:u w:val="single"/>
              </w:rPr>
            </w:pPr>
          </w:p>
        </w:tc>
      </w:tr>
      <w:tr w:rsidR="009C2A2B" w:rsidTr="00B73CEE">
        <w:tc>
          <w:tcPr>
            <w:tcW w:w="2410" w:type="dxa"/>
          </w:tcPr>
          <w:p w:rsidR="009C2A2B" w:rsidRDefault="009C2A2B" w:rsidP="009C2A2B">
            <w:pPr>
              <w:jc w:val="both"/>
              <w:rPr>
                <w:b/>
                <w:u w:val="single"/>
              </w:rPr>
            </w:pPr>
          </w:p>
        </w:tc>
        <w:tc>
          <w:tcPr>
            <w:tcW w:w="8222" w:type="dxa"/>
          </w:tcPr>
          <w:p w:rsidR="00B73CEE" w:rsidRPr="00B73CEE" w:rsidRDefault="00B73CEE" w:rsidP="00B73CEE">
            <w:pPr>
              <w:jc w:val="both"/>
            </w:pPr>
            <w:r>
              <w:rPr>
                <w:b/>
              </w:rPr>
              <w:t>Creating a lonely atmosphere</w:t>
            </w:r>
          </w:p>
          <w:p w:rsidR="00B73CEE" w:rsidRDefault="00B73CEE" w:rsidP="00B73CEE">
            <w:pPr>
              <w:jc w:val="both"/>
            </w:pPr>
          </w:p>
          <w:p w:rsidR="00B73CEE" w:rsidRDefault="00B73CEE" w:rsidP="00B73CEE">
            <w:pPr>
              <w:jc w:val="both"/>
            </w:pPr>
            <w:r w:rsidRPr="00B73CEE">
              <w:t>The COVID-19 pandemic of 2020 is an external force changing the way we live and experience place. The once busy centre of Didsbury Village has been transformed to that of a ghost town, as people stay at home, transforming the genius loci completely to that of a lonely and distant one. Also, chance interactions are ceased and engaged communities may be lost as people lose physical contact (</w:t>
            </w:r>
            <w:proofErr w:type="spellStart"/>
            <w:r w:rsidRPr="00B73CEE">
              <w:t>Allmendinger</w:t>
            </w:r>
            <w:proofErr w:type="spellEnd"/>
            <w:r w:rsidRPr="00B73CEE">
              <w:t>, 2012). Didsbury’s bars and restaurants were forced to close, including Croma and Casa Italia, which threatens the local, and national, economy, while the buzz of the once busy streets has been killed, along with much enjoyed nightlife and reunions of friends, who at present can only communicate from a distance. Geographically near places may begin to feel more distant as the sense of place weakens, along with emotionally near places if memories begin to fade. A lonely atmosphere prevailed at start of the lockdown, as all town centres across the UK became empty. It will take some time to restore the once friendly atmosphere with a strong sense of community, with social distancing remaining in place for the foreseeable future, keeping friends and families out of touch and forcing a new but unwanted way of life at home. For many people, it can’t be said that home is where the heart is (Bickford, 1857), as a longing for complete freedom prevails and placemaking is hindered.</w:t>
            </w:r>
          </w:p>
          <w:p w:rsidR="00B73CEE" w:rsidRPr="00B73CEE" w:rsidRDefault="00B73CEE" w:rsidP="00B73CEE">
            <w:pPr>
              <w:jc w:val="both"/>
            </w:pPr>
          </w:p>
          <w:p w:rsidR="00B73CEE" w:rsidRDefault="00B73CEE" w:rsidP="00B73CEE">
            <w:pPr>
              <w:jc w:val="both"/>
            </w:pPr>
            <w:r w:rsidRPr="00B73CEE">
              <w:t>The changing normality as a result of the pandemic has had a vast knock-on effect on the local businesses within Didsbury, with the closure of the majority of stores during the national lockdown and the slow reopening of the village centre. The local restaurants have faced months of minimal revenue with limited operation for the foreseeable future, therefore threatening their survival. For example, Croma, a popular restaurant located on Wilmslow Road faced a three-week complete closure before being allowed to restart on Deliveroo only. Figure 3 shows the emptiness outside Croma. Under ‘normal’ life this area would be bustling, with a pleasant atmosphere and the delicious smell of pizza. By contrast the picture shows the reality of many restaurants forced to close due to the pandemic. The Deliveroo sales equate to around 20% of total sales expected for this time of year (Sillitoe, 2020). This significant reduction in income threatens the future of Croma, but also many local businesses in the same situation, therefore creating uncertainty for the once thriving village centre. This would create a disheartening change in the prevailing atmosphere of Didsbury Village as a knock-on effect which would subsequently change the lived experience of the village. Figure 4 shows the changes in operation of many restaurants and cafes. The use of online platforms has prevented many businesses from having to close permanently, but still does not guarantee their survival. The likely rise in unemployment rates due to business closures may force residents of Didsbury to relocate due to the high cost of living there, therefore impacting upon peoples’ livelihoods and weakening the sense of belonging and attachment they experience to place. This would encourage a lonely atmosphere to prevail. </w:t>
            </w:r>
          </w:p>
          <w:p w:rsidR="00B73CEE" w:rsidRDefault="00B73CEE" w:rsidP="00B73CEE">
            <w:pPr>
              <w:jc w:val="both"/>
            </w:pPr>
          </w:p>
          <w:p w:rsidR="00B73CEE" w:rsidRDefault="00B73CEE" w:rsidP="00B73CEE">
            <w:pPr>
              <w:jc w:val="both"/>
            </w:pPr>
            <w:r>
              <w:rPr>
                <w:b/>
              </w:rPr>
              <w:lastRenderedPageBreak/>
              <w:t>Slowing down the pace of life</w:t>
            </w:r>
          </w:p>
          <w:p w:rsidR="00B73CEE" w:rsidRDefault="00B73CEE" w:rsidP="00B73CEE">
            <w:pPr>
              <w:jc w:val="both"/>
            </w:pPr>
          </w:p>
          <w:p w:rsidR="00B73CEE" w:rsidRDefault="00B73CEE" w:rsidP="00B73CEE">
            <w:pPr>
              <w:jc w:val="both"/>
            </w:pPr>
            <w:r w:rsidRPr="00B73CEE">
              <w:t xml:space="preserve">Globalisation is the process by which the world is becoming increasingly interconnected, for example through trade, transport and technology (BBC, 2020). Like the COVID-19 pandemic, globalisation is an external force acting as an exogenous factor. The trade that exists between the UK and other countries, for example food commodities like bananas, allows the food sold in the shops of Didsbury to be sourced from all over the world, creating a sense of cultural diversity. These shops include Tesco Express, M&amp;S and Co-op Food, all located on Wilmslow Road. Other Multinational corporations, such as Costa Coffee dominate Didsbury Village, creating a clone town and therefore steering away from the traditional localisation that was once present. A consequence of the COVID-19 pandemic is that unemployment rates will increase due to business closures, however this is more likely to affect the local businesses who cannot operate online. Figure 6 shows the </w:t>
            </w:r>
            <w:proofErr w:type="spellStart"/>
            <w:r w:rsidRPr="00B73CEE">
              <w:t>Ei</w:t>
            </w:r>
            <w:proofErr w:type="spellEnd"/>
            <w:r w:rsidRPr="00B73CEE">
              <w:t xml:space="preserve"> Lift Cosmetic Centre, which cannot open in the near future and therefore its survival is threatened. Many small businesses find themselves in the same situation. Therefore, the dominance of chain stores within Didsbury Village may guarantee the continued employment of local employees due to their national profits, and because of the possibility of transferral to other stores should the Didsbury branches face closure.</w:t>
            </w:r>
          </w:p>
          <w:p w:rsidR="00B73CEE" w:rsidRPr="00B73CEE" w:rsidRDefault="00B73CEE" w:rsidP="00B73CEE">
            <w:pPr>
              <w:jc w:val="both"/>
            </w:pPr>
          </w:p>
          <w:p w:rsidR="009C2A2B" w:rsidRPr="009C2A2B" w:rsidRDefault="00B73CEE" w:rsidP="009C2A2B">
            <w:pPr>
              <w:jc w:val="both"/>
            </w:pPr>
            <w:r w:rsidRPr="00B73CEE">
              <w:t xml:space="preserve">The MNCs will have affected the older population to a larger extent in terms of sense of place because the town was once completely localised, which many people will have become attached to, and attachment grows with age (Tuan, 1977). Therefore, the homogenisation of the landscape is likely to have encouraged the older population to relocate due to feeling like outsiders in a once familiar place, as Didsbury has become a different place with time. There are still old features that remain, such as the library and clock tower, but these are surrounded by new and homogenising features like the rise in chain stores, including </w:t>
            </w:r>
            <w:proofErr w:type="spellStart"/>
            <w:r w:rsidRPr="00B73CEE">
              <w:t>Natwest</w:t>
            </w:r>
            <w:proofErr w:type="spellEnd"/>
            <w:r w:rsidRPr="00B73CEE">
              <w:t xml:space="preserve"> and Subway. Didsbury has also undergone rapid change due to the COVID-19 pandemic, with restrictions in place within all the open stores (Figure 5), creating a whole new atmosphere within the village centre. Local businesses remain within Didsbury Village, including Evans of Didsbury and Fresh Save Fruit &amp; Veg. These businesses are able to thrive due to the popularity of Didsbury, but face competition from the supermarket chains and are threatened by their reduced income caused by the COVID-19 pandemic</w:t>
            </w:r>
            <w:r>
              <w:t>…</w:t>
            </w:r>
            <w:r w:rsidRPr="00B73CEE">
              <w:t xml:space="preserve"> </w:t>
            </w:r>
          </w:p>
        </w:tc>
      </w:tr>
    </w:tbl>
    <w:p w:rsidR="009C2A2B" w:rsidRDefault="009C2A2B" w:rsidP="009C2A2B">
      <w:pPr>
        <w:jc w:val="both"/>
        <w:rPr>
          <w:b/>
          <w:u w:val="single"/>
        </w:rPr>
      </w:pPr>
    </w:p>
    <w:p w:rsidR="009C2A2B" w:rsidRDefault="009C2A2B" w:rsidP="009C2A2B">
      <w:pPr>
        <w:jc w:val="both"/>
        <w:rPr>
          <w:b/>
          <w:u w:val="single"/>
        </w:rPr>
      </w:pPr>
      <w:r>
        <w:rPr>
          <w:b/>
          <w:u w:val="single"/>
        </w:rPr>
        <w:t>Questions for further thought:</w:t>
      </w:r>
    </w:p>
    <w:p w:rsidR="009C2A2B" w:rsidRDefault="009C2A2B" w:rsidP="009C2A2B">
      <w:pPr>
        <w:jc w:val="both"/>
        <w:rPr>
          <w:b/>
          <w:u w:val="single"/>
        </w:rPr>
      </w:pPr>
    </w:p>
    <w:p w:rsidR="009C2A2B" w:rsidRPr="00990AE3" w:rsidRDefault="00990AE3" w:rsidP="009C2A2B">
      <w:pPr>
        <w:jc w:val="both"/>
      </w:pPr>
      <w:r>
        <w:t>Make sure you can define</w:t>
      </w:r>
      <w:r w:rsidR="009C2A2B" w:rsidRPr="00990AE3">
        <w:t xml:space="preserve"> the following words:</w:t>
      </w:r>
    </w:p>
    <w:p w:rsidR="009C2A2B" w:rsidRPr="00990AE3" w:rsidRDefault="00B73CEE" w:rsidP="00990AE3">
      <w:pPr>
        <w:jc w:val="center"/>
        <w:rPr>
          <w:b/>
        </w:rPr>
      </w:pPr>
      <w:r>
        <w:rPr>
          <w:b/>
        </w:rPr>
        <w:t>Pandemic</w:t>
      </w:r>
      <w:r>
        <w:rPr>
          <w:b/>
        </w:rPr>
        <w:tab/>
      </w:r>
      <w:r>
        <w:rPr>
          <w:b/>
        </w:rPr>
        <w:tab/>
        <w:t>genius loci</w:t>
      </w:r>
      <w:r>
        <w:rPr>
          <w:b/>
        </w:rPr>
        <w:tab/>
      </w:r>
      <w:r>
        <w:rPr>
          <w:b/>
        </w:rPr>
        <w:tab/>
        <w:t>placemaking</w:t>
      </w:r>
      <w:r>
        <w:rPr>
          <w:b/>
        </w:rPr>
        <w:tab/>
      </w:r>
      <w:r>
        <w:rPr>
          <w:b/>
        </w:rPr>
        <w:tab/>
        <w:t>globalisation</w:t>
      </w:r>
      <w:r>
        <w:rPr>
          <w:b/>
        </w:rPr>
        <w:tab/>
      </w:r>
      <w:r>
        <w:rPr>
          <w:b/>
        </w:rPr>
        <w:tab/>
        <w:t>homogenisation</w:t>
      </w:r>
    </w:p>
    <w:p w:rsidR="00990AE3" w:rsidRPr="00990AE3" w:rsidRDefault="00990AE3" w:rsidP="00990AE3">
      <w:pPr>
        <w:jc w:val="center"/>
      </w:pPr>
    </w:p>
    <w:p w:rsidR="009C2A2B" w:rsidRDefault="00B73CEE" w:rsidP="009C2A2B">
      <w:pPr>
        <w:pStyle w:val="ListParagraph"/>
        <w:numPr>
          <w:ilvl w:val="0"/>
          <w:numId w:val="1"/>
        </w:numPr>
        <w:jc w:val="both"/>
      </w:pPr>
      <w:r>
        <w:t>Why is covid-19 considered to be an exogenous force in this article?</w:t>
      </w:r>
    </w:p>
    <w:p w:rsidR="009C2A2B" w:rsidRDefault="009C2A2B" w:rsidP="009C2A2B">
      <w:pPr>
        <w:pStyle w:val="ListParagraph"/>
        <w:numPr>
          <w:ilvl w:val="0"/>
          <w:numId w:val="1"/>
        </w:numPr>
        <w:jc w:val="both"/>
      </w:pPr>
      <w:r>
        <w:t xml:space="preserve">What </w:t>
      </w:r>
      <w:r w:rsidR="00B73CEE">
        <w:t>impacts has covid-19 had on Didsbury as a place?</w:t>
      </w:r>
    </w:p>
    <w:p w:rsidR="009C2A2B" w:rsidRDefault="00B73CEE" w:rsidP="009C2A2B">
      <w:pPr>
        <w:pStyle w:val="ListParagraph"/>
        <w:numPr>
          <w:ilvl w:val="0"/>
          <w:numId w:val="1"/>
        </w:numPr>
        <w:jc w:val="both"/>
      </w:pPr>
      <w:r>
        <w:t>What other exogenous forces have been shaping Didsbury?</w:t>
      </w:r>
    </w:p>
    <w:p w:rsidR="00B73CEE" w:rsidRDefault="00B73CEE" w:rsidP="009C2A2B">
      <w:pPr>
        <w:pStyle w:val="ListParagraph"/>
        <w:numPr>
          <w:ilvl w:val="0"/>
          <w:numId w:val="1"/>
        </w:numPr>
        <w:jc w:val="both"/>
      </w:pPr>
      <w:r>
        <w:t>In what ways have these other exogenous forces shaped Didsbury?</w:t>
      </w:r>
    </w:p>
    <w:p w:rsidR="009C2A2B" w:rsidRPr="009C2A2B" w:rsidRDefault="00B73CEE" w:rsidP="009C2A2B">
      <w:pPr>
        <w:pStyle w:val="ListParagraph"/>
        <w:numPr>
          <w:ilvl w:val="0"/>
          <w:numId w:val="1"/>
        </w:numPr>
        <w:jc w:val="both"/>
      </w:pPr>
      <w:r>
        <w:t xml:space="preserve">Covid-19 will </w:t>
      </w:r>
      <w:r w:rsidR="009C2A2B">
        <w:t>“</w:t>
      </w:r>
      <w:r>
        <w:t>encourage a lonely atmosphere to prevail in Didsbury</w:t>
      </w:r>
      <w:r w:rsidR="009C2A2B">
        <w:t>”. Using evidence from the article, evaluate the author’s view.</w:t>
      </w:r>
    </w:p>
    <w:sectPr w:rsidR="009C2A2B" w:rsidRPr="009C2A2B" w:rsidSect="00990AE3">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F234DC"/>
    <w:multiLevelType w:val="hybridMultilevel"/>
    <w:tmpl w:val="FAF65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A2B"/>
    <w:rsid w:val="007448B7"/>
    <w:rsid w:val="008924F7"/>
    <w:rsid w:val="00990AE3"/>
    <w:rsid w:val="009C2A2B"/>
    <w:rsid w:val="00B73CEE"/>
    <w:rsid w:val="00CA4D90"/>
    <w:rsid w:val="00F824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A1792F"/>
  <w15:chartTrackingRefBased/>
  <w15:docId w15:val="{28A3877B-075E-AE4C-B1A3-480A3AF31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2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2A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720344">
      <w:bodyDiv w:val="1"/>
      <w:marLeft w:val="0"/>
      <w:marRight w:val="0"/>
      <w:marTop w:val="0"/>
      <w:marBottom w:val="0"/>
      <w:divBdr>
        <w:top w:val="none" w:sz="0" w:space="0" w:color="auto"/>
        <w:left w:val="none" w:sz="0" w:space="0" w:color="auto"/>
        <w:bottom w:val="none" w:sz="0" w:space="0" w:color="auto"/>
        <w:right w:val="none" w:sz="0" w:space="0" w:color="auto"/>
      </w:divBdr>
    </w:div>
    <w:div w:id="210265362">
      <w:bodyDiv w:val="1"/>
      <w:marLeft w:val="0"/>
      <w:marRight w:val="0"/>
      <w:marTop w:val="0"/>
      <w:marBottom w:val="0"/>
      <w:divBdr>
        <w:top w:val="none" w:sz="0" w:space="0" w:color="auto"/>
        <w:left w:val="none" w:sz="0" w:space="0" w:color="auto"/>
        <w:bottom w:val="none" w:sz="0" w:space="0" w:color="auto"/>
        <w:right w:val="none" w:sz="0" w:space="0" w:color="auto"/>
      </w:divBdr>
    </w:div>
    <w:div w:id="216014520">
      <w:bodyDiv w:val="1"/>
      <w:marLeft w:val="0"/>
      <w:marRight w:val="0"/>
      <w:marTop w:val="0"/>
      <w:marBottom w:val="0"/>
      <w:divBdr>
        <w:top w:val="none" w:sz="0" w:space="0" w:color="auto"/>
        <w:left w:val="none" w:sz="0" w:space="0" w:color="auto"/>
        <w:bottom w:val="none" w:sz="0" w:space="0" w:color="auto"/>
        <w:right w:val="none" w:sz="0" w:space="0" w:color="auto"/>
      </w:divBdr>
    </w:div>
    <w:div w:id="441152072">
      <w:bodyDiv w:val="1"/>
      <w:marLeft w:val="0"/>
      <w:marRight w:val="0"/>
      <w:marTop w:val="0"/>
      <w:marBottom w:val="0"/>
      <w:divBdr>
        <w:top w:val="none" w:sz="0" w:space="0" w:color="auto"/>
        <w:left w:val="none" w:sz="0" w:space="0" w:color="auto"/>
        <w:bottom w:val="none" w:sz="0" w:space="0" w:color="auto"/>
        <w:right w:val="none" w:sz="0" w:space="0" w:color="auto"/>
      </w:divBdr>
    </w:div>
    <w:div w:id="1121146701">
      <w:bodyDiv w:val="1"/>
      <w:marLeft w:val="0"/>
      <w:marRight w:val="0"/>
      <w:marTop w:val="0"/>
      <w:marBottom w:val="0"/>
      <w:divBdr>
        <w:top w:val="none" w:sz="0" w:space="0" w:color="auto"/>
        <w:left w:val="none" w:sz="0" w:space="0" w:color="auto"/>
        <w:bottom w:val="none" w:sz="0" w:space="0" w:color="auto"/>
        <w:right w:val="none" w:sz="0" w:space="0" w:color="auto"/>
      </w:divBdr>
    </w:div>
    <w:div w:id="1304700628">
      <w:bodyDiv w:val="1"/>
      <w:marLeft w:val="0"/>
      <w:marRight w:val="0"/>
      <w:marTop w:val="0"/>
      <w:marBottom w:val="0"/>
      <w:divBdr>
        <w:top w:val="none" w:sz="0" w:space="0" w:color="auto"/>
        <w:left w:val="none" w:sz="0" w:space="0" w:color="auto"/>
        <w:bottom w:val="none" w:sz="0" w:space="0" w:color="auto"/>
        <w:right w:val="none" w:sz="0" w:space="0" w:color="auto"/>
      </w:divBdr>
    </w:div>
    <w:div w:id="1343240799">
      <w:bodyDiv w:val="1"/>
      <w:marLeft w:val="0"/>
      <w:marRight w:val="0"/>
      <w:marTop w:val="0"/>
      <w:marBottom w:val="0"/>
      <w:divBdr>
        <w:top w:val="none" w:sz="0" w:space="0" w:color="auto"/>
        <w:left w:val="none" w:sz="0" w:space="0" w:color="auto"/>
        <w:bottom w:val="none" w:sz="0" w:space="0" w:color="auto"/>
        <w:right w:val="none" w:sz="0" w:space="0" w:color="auto"/>
      </w:divBdr>
    </w:div>
    <w:div w:id="1713460628">
      <w:bodyDiv w:val="1"/>
      <w:marLeft w:val="0"/>
      <w:marRight w:val="0"/>
      <w:marTop w:val="0"/>
      <w:marBottom w:val="0"/>
      <w:divBdr>
        <w:top w:val="none" w:sz="0" w:space="0" w:color="auto"/>
        <w:left w:val="none" w:sz="0" w:space="0" w:color="auto"/>
        <w:bottom w:val="none" w:sz="0" w:space="0" w:color="auto"/>
        <w:right w:val="none" w:sz="0" w:space="0" w:color="auto"/>
      </w:divBdr>
    </w:div>
    <w:div w:id="1796607030">
      <w:bodyDiv w:val="1"/>
      <w:marLeft w:val="0"/>
      <w:marRight w:val="0"/>
      <w:marTop w:val="0"/>
      <w:marBottom w:val="0"/>
      <w:divBdr>
        <w:top w:val="none" w:sz="0" w:space="0" w:color="auto"/>
        <w:left w:val="none" w:sz="0" w:space="0" w:color="auto"/>
        <w:bottom w:val="none" w:sz="0" w:space="0" w:color="auto"/>
        <w:right w:val="none" w:sz="0" w:space="0" w:color="auto"/>
      </w:divBdr>
    </w:div>
    <w:div w:id="1828939221">
      <w:bodyDiv w:val="1"/>
      <w:marLeft w:val="0"/>
      <w:marRight w:val="0"/>
      <w:marTop w:val="0"/>
      <w:marBottom w:val="0"/>
      <w:divBdr>
        <w:top w:val="none" w:sz="0" w:space="0" w:color="auto"/>
        <w:left w:val="none" w:sz="0" w:space="0" w:color="auto"/>
        <w:bottom w:val="none" w:sz="0" w:space="0" w:color="auto"/>
        <w:right w:val="none" w:sz="0" w:space="0" w:color="auto"/>
      </w:divBdr>
    </w:div>
    <w:div w:id="2022582679">
      <w:bodyDiv w:val="1"/>
      <w:marLeft w:val="0"/>
      <w:marRight w:val="0"/>
      <w:marTop w:val="0"/>
      <w:marBottom w:val="0"/>
      <w:divBdr>
        <w:top w:val="none" w:sz="0" w:space="0" w:color="auto"/>
        <w:left w:val="none" w:sz="0" w:space="0" w:color="auto"/>
        <w:bottom w:val="none" w:sz="0" w:space="0" w:color="auto"/>
        <w:right w:val="none" w:sz="0" w:space="0" w:color="auto"/>
      </w:divBdr>
    </w:div>
    <w:div w:id="2036147650">
      <w:bodyDiv w:val="1"/>
      <w:marLeft w:val="0"/>
      <w:marRight w:val="0"/>
      <w:marTop w:val="0"/>
      <w:marBottom w:val="0"/>
      <w:divBdr>
        <w:top w:val="none" w:sz="0" w:space="0" w:color="auto"/>
        <w:left w:val="none" w:sz="0" w:space="0" w:color="auto"/>
        <w:bottom w:val="none" w:sz="0" w:space="0" w:color="auto"/>
        <w:right w:val="none" w:sz="0" w:space="0" w:color="auto"/>
      </w:divBdr>
    </w:div>
    <w:div w:id="212206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995</Words>
  <Characters>5674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d.whittall@trinityacademyhalifax.org</dc:creator>
  <cp:keywords/>
  <dc:description/>
  <cp:lastModifiedBy>d.whittall@trinityacademyhalifax.org</cp:lastModifiedBy>
  <cp:revision>2</cp:revision>
  <dcterms:created xsi:type="dcterms:W3CDTF">2020-10-21T11:50:00Z</dcterms:created>
  <dcterms:modified xsi:type="dcterms:W3CDTF">2020-10-21T11:50:00Z</dcterms:modified>
</cp:coreProperties>
</file>